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1F32" w14:textId="0288DE49" w:rsidR="009E5F89" w:rsidRPr="009E5F89" w:rsidRDefault="00E92EC9" w:rsidP="007E0E13">
      <w:pP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42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21647EB7" wp14:editId="13D5AF99">
            <wp:simplePos x="0" y="0"/>
            <wp:positionH relativeFrom="column">
              <wp:posOffset>5175849</wp:posOffset>
            </wp:positionH>
            <wp:positionV relativeFrom="paragraph">
              <wp:posOffset>0</wp:posOffset>
            </wp:positionV>
            <wp:extent cx="1058782" cy="1052422"/>
            <wp:effectExtent l="0" t="0" r="0" b="0"/>
            <wp:wrapNone/>
            <wp:docPr id="1198294327" name="Picture 119829432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294327" name="Picture 1198294327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782" cy="1052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34C">
        <w:rPr>
          <w:rFonts w:ascii="Times New Roman" w:eastAsia="Times New Roman" w:hAnsi="Times New Roman" w:cs="Times New Roman"/>
          <w:noProof/>
          <w:position w:val="-33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9AB36B0" wp14:editId="1B8B4B1B">
            <wp:simplePos x="0" y="0"/>
            <wp:positionH relativeFrom="column">
              <wp:posOffset>-258792</wp:posOffset>
            </wp:positionH>
            <wp:positionV relativeFrom="paragraph">
              <wp:posOffset>8626</wp:posOffset>
            </wp:positionV>
            <wp:extent cx="1200502" cy="10810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502" cy="1081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5F89" w:rsidRPr="009E5F89">
        <w:rPr>
          <w:rFonts w:ascii="Book Antiqua" w:hAnsi="Book Antiqua"/>
          <w:b/>
          <w:i/>
          <w:sz w:val="28"/>
          <w:szCs w:val="28"/>
        </w:rPr>
        <w:t>ARIZONA COURT OF APPEALS, DIVISION I</w:t>
      </w:r>
    </w:p>
    <w:p w14:paraId="78E782B9" w14:textId="77777777" w:rsidR="009E5F89" w:rsidRPr="009E5F89" w:rsidRDefault="009E5F89" w:rsidP="007E0E13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9E5F89">
        <w:rPr>
          <w:rFonts w:ascii="Book Antiqua" w:hAnsi="Book Antiqua"/>
          <w:b/>
          <w:i/>
          <w:sz w:val="28"/>
          <w:szCs w:val="28"/>
        </w:rPr>
        <w:t>ORAL ARGUMENT CASE SUMMARY</w:t>
      </w:r>
    </w:p>
    <w:p w14:paraId="5ABDF93C" w14:textId="056BC1DF" w:rsidR="009E5F89" w:rsidRPr="009E5F89" w:rsidRDefault="009E5F89" w:rsidP="007E0E13">
      <w:pPr>
        <w:spacing w:after="120"/>
        <w:jc w:val="center"/>
        <w:rPr>
          <w:rFonts w:ascii="Book Antiqua" w:hAnsi="Book Antiqua"/>
          <w:sz w:val="28"/>
          <w:szCs w:val="28"/>
        </w:rPr>
      </w:pPr>
      <w:r w:rsidRPr="007E0E13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inline distT="0" distB="0" distL="0" distR="0" wp14:anchorId="3BED5DB4" wp14:editId="234E85C6">
                <wp:extent cx="3105509" cy="141821"/>
                <wp:effectExtent l="0" t="0" r="0" b="0"/>
                <wp:docPr id="100727896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509" cy="141821"/>
                          <a:chOff x="0" y="0"/>
                          <a:chExt cx="4276" cy="163"/>
                        </a:xfrm>
                      </wpg:grpSpPr>
                      <wpg:grpSp>
                        <wpg:cNvPr id="116084513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276" cy="163"/>
                            <a:chOff x="0" y="0"/>
                            <a:chExt cx="4276" cy="163"/>
                          </a:xfrm>
                        </wpg:grpSpPr>
                        <wps:wsp>
                          <wps:cNvPr id="300995215" name="Freeform 1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276" cy="163"/>
                            </a:xfrm>
                            <a:custGeom>
                              <a:avLst/>
                              <a:gdLst>
                                <a:gd name="T0" fmla="*/ 0 w 4276"/>
                                <a:gd name="T1" fmla="*/ 163 h 163"/>
                                <a:gd name="T2" fmla="*/ 4276 w 4276"/>
                                <a:gd name="T3" fmla="*/ 163 h 163"/>
                                <a:gd name="T4" fmla="*/ 4276 w 4276"/>
                                <a:gd name="T5" fmla="*/ 0 h 163"/>
                                <a:gd name="T6" fmla="*/ 0 w 4276"/>
                                <a:gd name="T7" fmla="*/ 0 h 163"/>
                                <a:gd name="T8" fmla="*/ 0 w 4276"/>
                                <a:gd name="T9" fmla="*/ 163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276" h="163">
                                  <a:moveTo>
                                    <a:pt x="0" y="163"/>
                                  </a:moveTo>
                                  <a:lnTo>
                                    <a:pt x="4276" y="163"/>
                                  </a:lnTo>
                                  <a:lnTo>
                                    <a:pt x="42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CAEA99" id="Group 4" o:spid="_x0000_s1026" style="width:244.55pt;height:11.15pt;mso-position-horizontal-relative:char;mso-position-vertical-relative:line" coordsize="4276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">
                <v:group id="Group 12" o:spid="_x0000_s1027" style="position:absolute;width:4276;height:163" coordsize="427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">
                  <v:shape id="Freeform 13" o:spid="_x0000_s1028" style="position:absolute;width:4276;height:163;visibility:visible;mso-wrap-style:square;v-text-anchor:top" coordsize="427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" path="m,163r4276,l4276,,,,,163xe" fillcolor="black" stroked="f">
                    <v:path arrowok="t" o:connecttype="custom" o:connectlocs="0,163;4276,163;4276,0;0,0;0,163" o:connectangles="0,0,0,0,0"/>
                  </v:shape>
                </v:group>
                <w10:anchorlock/>
              </v:group>
            </w:pict>
          </mc:Fallback>
        </mc:AlternateContent>
      </w:r>
    </w:p>
    <w:p w14:paraId="5166098B" w14:textId="0E54B032" w:rsidR="00470BCF" w:rsidRPr="007E0E13" w:rsidRDefault="009E5F89" w:rsidP="007E0E13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7E0E13">
        <w:rPr>
          <w:rFonts w:ascii="Book Antiqua" w:hAnsi="Book Antiqua"/>
          <w:sz w:val="28"/>
          <w:szCs w:val="28"/>
        </w:rPr>
        <w:t>In re the Matter of ANNETTE WOO</w:t>
      </w:r>
      <w:r w:rsidR="007E0E13" w:rsidRPr="007E0E13">
        <w:rPr>
          <w:rFonts w:ascii="Book Antiqua" w:hAnsi="Book Antiqua"/>
          <w:sz w:val="28"/>
          <w:szCs w:val="28"/>
        </w:rPr>
        <w:t>D</w:t>
      </w:r>
    </w:p>
    <w:p w14:paraId="09E9E2D4" w14:textId="629C0498" w:rsidR="007E0E13" w:rsidRDefault="007E0E13" w:rsidP="007E0E13">
      <w:pPr>
        <w:spacing w:after="0"/>
        <w:jc w:val="center"/>
        <w:rPr>
          <w:rFonts w:ascii="Book Antiqua" w:hAnsi="Book Antiqua"/>
          <w:sz w:val="28"/>
          <w:szCs w:val="28"/>
        </w:rPr>
      </w:pPr>
      <w:r w:rsidRPr="007E0E13">
        <w:rPr>
          <w:rFonts w:ascii="Book Antiqua" w:hAnsi="Book Antiqua"/>
          <w:sz w:val="28"/>
          <w:szCs w:val="28"/>
        </w:rPr>
        <w:t>CV 22-0710</w:t>
      </w:r>
    </w:p>
    <w:p w14:paraId="1F775767" w14:textId="0EE45B0F" w:rsidR="00E92EC9" w:rsidRDefault="00E92EC9" w:rsidP="0056746B">
      <w:pPr>
        <w:spacing w:after="0" w:line="360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PARTIES:</w:t>
      </w:r>
    </w:p>
    <w:p w14:paraId="5549AFAA" w14:textId="05F1420E" w:rsidR="00E92EC9" w:rsidRDefault="0056746B" w:rsidP="000D0803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0D0803">
        <w:rPr>
          <w:rFonts w:ascii="Book Antiqua" w:hAnsi="Book Antiqua"/>
          <w:i/>
          <w:iCs/>
          <w:sz w:val="24"/>
          <w:szCs w:val="24"/>
        </w:rPr>
        <w:t>Petitioner</w:t>
      </w:r>
      <w:r>
        <w:rPr>
          <w:rFonts w:ascii="Book Antiqua" w:hAnsi="Book Antiqua"/>
          <w:sz w:val="24"/>
          <w:szCs w:val="24"/>
        </w:rPr>
        <w:t>:</w:t>
      </w:r>
      <w:r w:rsidR="000D0803">
        <w:rPr>
          <w:rFonts w:ascii="Book Antiqua" w:hAnsi="Book Antiqua"/>
          <w:sz w:val="24"/>
          <w:szCs w:val="24"/>
        </w:rPr>
        <w:tab/>
        <w:t xml:space="preserve">   Annette Wood</w:t>
      </w:r>
    </w:p>
    <w:p w14:paraId="52F4BD76" w14:textId="64A9AE4C" w:rsidR="0056746B" w:rsidRDefault="0056746B" w:rsidP="00907CD7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0D0803">
        <w:rPr>
          <w:rFonts w:ascii="Book Antiqua" w:hAnsi="Book Antiqua"/>
          <w:i/>
          <w:iCs/>
          <w:sz w:val="24"/>
          <w:szCs w:val="24"/>
        </w:rPr>
        <w:t>Respondent</w:t>
      </w:r>
      <w:r w:rsidR="00A42BF0">
        <w:rPr>
          <w:rFonts w:ascii="Book Antiqua" w:hAnsi="Book Antiqua"/>
          <w:i/>
          <w:iCs/>
          <w:sz w:val="24"/>
          <w:szCs w:val="24"/>
        </w:rPr>
        <w:t>s</w:t>
      </w:r>
      <w:r>
        <w:rPr>
          <w:rFonts w:ascii="Book Antiqua" w:hAnsi="Book Antiqua"/>
          <w:sz w:val="24"/>
          <w:szCs w:val="24"/>
        </w:rPr>
        <w:t>:</w:t>
      </w:r>
      <w:r w:rsidR="000D0803">
        <w:rPr>
          <w:rFonts w:ascii="Book Antiqua" w:hAnsi="Book Antiqua"/>
          <w:sz w:val="24"/>
          <w:szCs w:val="24"/>
        </w:rPr>
        <w:tab/>
        <w:t xml:space="preserve">   Coconino County</w:t>
      </w:r>
    </w:p>
    <w:p w14:paraId="5CBEFE18" w14:textId="354818FB" w:rsidR="00907CD7" w:rsidRDefault="00907CD7" w:rsidP="00907CD7">
      <w:pPr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 xml:space="preserve">   State of Arizona</w:t>
      </w:r>
    </w:p>
    <w:p w14:paraId="3BFD68A6" w14:textId="5D53EAB6" w:rsidR="00E75AA2" w:rsidRDefault="0056746B" w:rsidP="00E75AA2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i/>
          <w:iCs/>
          <w:sz w:val="24"/>
          <w:szCs w:val="24"/>
        </w:rPr>
        <w:t>Amici Cur</w:t>
      </w:r>
      <w:r w:rsidR="000D0803">
        <w:rPr>
          <w:rFonts w:ascii="Book Antiqua" w:hAnsi="Book Antiqua"/>
          <w:i/>
          <w:iCs/>
          <w:sz w:val="24"/>
          <w:szCs w:val="24"/>
        </w:rPr>
        <w:t>iae</w:t>
      </w:r>
      <w:r w:rsidR="000D0803">
        <w:rPr>
          <w:rFonts w:ascii="Book Antiqua" w:hAnsi="Book Antiqua"/>
          <w:sz w:val="24"/>
          <w:szCs w:val="24"/>
        </w:rPr>
        <w:t>:</w:t>
      </w:r>
      <w:r w:rsidR="000D0803">
        <w:rPr>
          <w:rFonts w:ascii="Book Antiqua" w:hAnsi="Book Antiqua"/>
          <w:sz w:val="24"/>
          <w:szCs w:val="24"/>
        </w:rPr>
        <w:tab/>
        <w:t xml:space="preserve">   </w:t>
      </w:r>
      <w:r w:rsidR="00E75AA2" w:rsidRPr="00E75AA2">
        <w:rPr>
          <w:rFonts w:ascii="Book Antiqua" w:hAnsi="Book Antiqua"/>
          <w:sz w:val="24"/>
          <w:szCs w:val="24"/>
        </w:rPr>
        <w:t>Arizona Center for Law in the Public Interest</w:t>
      </w:r>
    </w:p>
    <w:p w14:paraId="44021470" w14:textId="7D3783B1" w:rsidR="0056746B" w:rsidRDefault="00E75AA2" w:rsidP="0005738B">
      <w:pPr>
        <w:spacing w:line="240" w:lineRule="auto"/>
        <w:ind w:left="720"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Pr="00E75AA2">
        <w:rPr>
          <w:rFonts w:ascii="Book Antiqua" w:hAnsi="Book Antiqua"/>
          <w:sz w:val="24"/>
          <w:szCs w:val="24"/>
        </w:rPr>
        <w:t>Arizona Center for Disability Law</w:t>
      </w:r>
    </w:p>
    <w:p w14:paraId="42A0F086" w14:textId="3370D8AB" w:rsidR="00E75AA2" w:rsidRDefault="0005738B" w:rsidP="00E75AA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FACTS:</w:t>
      </w:r>
    </w:p>
    <w:p w14:paraId="09F3D361" w14:textId="77777777" w:rsidR="0005738B" w:rsidRDefault="0005738B" w:rsidP="00E75AA2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3DF922FE" w14:textId="6FA29B3B" w:rsidR="0005738B" w:rsidRDefault="0005738B" w:rsidP="006E5824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T</w:t>
      </w:r>
      <w:r w:rsidR="006851FA">
        <w:rPr>
          <w:rFonts w:ascii="Book Antiqua" w:hAnsi="Book Antiqua"/>
          <w:sz w:val="24"/>
          <w:szCs w:val="24"/>
        </w:rPr>
        <w:t xml:space="preserve">his is a case about </w:t>
      </w:r>
      <w:r w:rsidR="003D72AF">
        <w:rPr>
          <w:rFonts w:ascii="Book Antiqua" w:hAnsi="Book Antiqua"/>
          <w:sz w:val="24"/>
          <w:szCs w:val="24"/>
        </w:rPr>
        <w:t xml:space="preserve">voting rights. </w:t>
      </w:r>
      <w:r w:rsidR="0052219A">
        <w:rPr>
          <w:rFonts w:ascii="Book Antiqua" w:hAnsi="Book Antiqua"/>
          <w:sz w:val="24"/>
          <w:szCs w:val="24"/>
        </w:rPr>
        <w:t xml:space="preserve">Annette Wood is a 62-year-old resident of Coconino County. </w:t>
      </w:r>
      <w:r w:rsidR="00A03182">
        <w:rPr>
          <w:rFonts w:ascii="Book Antiqua" w:hAnsi="Book Antiqua"/>
          <w:sz w:val="24"/>
          <w:szCs w:val="24"/>
        </w:rPr>
        <w:t xml:space="preserve">She has resided in an assisted living facility since her husband passed away in 2020. </w:t>
      </w:r>
      <w:r w:rsidR="009604D0">
        <w:rPr>
          <w:rFonts w:ascii="Book Antiqua" w:hAnsi="Book Antiqua"/>
          <w:sz w:val="24"/>
          <w:szCs w:val="24"/>
        </w:rPr>
        <w:t xml:space="preserve">In 2021, a health professional diagnosed Ms. Wood with </w:t>
      </w:r>
      <w:r w:rsidR="00924346">
        <w:rPr>
          <w:rFonts w:ascii="Book Antiqua" w:hAnsi="Book Antiqua"/>
          <w:sz w:val="24"/>
          <w:szCs w:val="24"/>
        </w:rPr>
        <w:t>dementia and other intellectual disabilities. She uses a wheelchair,</w:t>
      </w:r>
      <w:r w:rsidR="00E92070">
        <w:rPr>
          <w:rFonts w:ascii="Book Antiqua" w:hAnsi="Book Antiqua"/>
          <w:sz w:val="24"/>
          <w:szCs w:val="24"/>
        </w:rPr>
        <w:t xml:space="preserve"> is unable to </w:t>
      </w:r>
      <w:r w:rsidR="006E5824">
        <w:rPr>
          <w:rFonts w:ascii="Book Antiqua" w:hAnsi="Book Antiqua"/>
          <w:sz w:val="24"/>
          <w:szCs w:val="24"/>
        </w:rPr>
        <w:t xml:space="preserve">walk, and </w:t>
      </w:r>
      <w:r w:rsidR="008D3A84">
        <w:rPr>
          <w:rFonts w:ascii="Book Antiqua" w:hAnsi="Book Antiqua"/>
          <w:sz w:val="24"/>
          <w:szCs w:val="24"/>
        </w:rPr>
        <w:t xml:space="preserve">has difficulty otherwise moving about. </w:t>
      </w:r>
      <w:r w:rsidR="00B3395F">
        <w:rPr>
          <w:rFonts w:ascii="Book Antiqua" w:hAnsi="Book Antiqua"/>
          <w:sz w:val="24"/>
          <w:szCs w:val="24"/>
        </w:rPr>
        <w:t xml:space="preserve">These facts led the health professional to declare that Ms. Wood cannot live independently, and recommended that </w:t>
      </w:r>
      <w:r w:rsidR="00CB313B">
        <w:rPr>
          <w:rFonts w:ascii="Book Antiqua" w:hAnsi="Book Antiqua"/>
          <w:sz w:val="24"/>
          <w:szCs w:val="24"/>
        </w:rPr>
        <w:t>she be placed under guardianship</w:t>
      </w:r>
      <w:r w:rsidR="00E82F10">
        <w:rPr>
          <w:rFonts w:ascii="Book Antiqua" w:hAnsi="Book Antiqua"/>
          <w:sz w:val="24"/>
          <w:szCs w:val="24"/>
        </w:rPr>
        <w:t>.</w:t>
      </w:r>
    </w:p>
    <w:p w14:paraId="1B58BB44" w14:textId="77777777" w:rsidR="00642F99" w:rsidRDefault="00642F99" w:rsidP="006E5824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5B9F7339" w14:textId="0FA046DA" w:rsidR="00642F99" w:rsidRDefault="00642F99" w:rsidP="006E5824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7B165C" w:rsidRPr="007B165C">
        <w:rPr>
          <w:rFonts w:ascii="Book Antiqua" w:hAnsi="Book Antiqua"/>
          <w:sz w:val="24"/>
          <w:szCs w:val="24"/>
        </w:rPr>
        <w:t xml:space="preserve">Guardianship is a legal arrangement in which a court appoints </w:t>
      </w:r>
      <w:r w:rsidR="00186E9C">
        <w:rPr>
          <w:rFonts w:ascii="Book Antiqua" w:hAnsi="Book Antiqua"/>
          <w:sz w:val="24"/>
          <w:szCs w:val="24"/>
        </w:rPr>
        <w:t>an individual or organization</w:t>
      </w:r>
      <w:r w:rsidR="007B165C" w:rsidRPr="007B165C">
        <w:rPr>
          <w:rFonts w:ascii="Book Antiqua" w:hAnsi="Book Antiqua"/>
          <w:sz w:val="24"/>
          <w:szCs w:val="24"/>
        </w:rPr>
        <w:t xml:space="preserve"> to make decisions and care for the personal </w:t>
      </w:r>
      <w:r w:rsidR="00186E9C">
        <w:rPr>
          <w:rFonts w:ascii="Book Antiqua" w:hAnsi="Book Antiqua"/>
          <w:sz w:val="24"/>
          <w:szCs w:val="24"/>
        </w:rPr>
        <w:t>and</w:t>
      </w:r>
      <w:r w:rsidR="007B165C" w:rsidRPr="007B165C">
        <w:rPr>
          <w:rFonts w:ascii="Book Antiqua" w:hAnsi="Book Antiqua"/>
          <w:sz w:val="24"/>
          <w:szCs w:val="24"/>
        </w:rPr>
        <w:t xml:space="preserve"> financial matters of</w:t>
      </w:r>
      <w:r w:rsidR="00186E9C">
        <w:rPr>
          <w:rFonts w:ascii="Book Antiqua" w:hAnsi="Book Antiqua"/>
          <w:sz w:val="24"/>
          <w:szCs w:val="24"/>
        </w:rPr>
        <w:t xml:space="preserve"> </w:t>
      </w:r>
      <w:r w:rsidR="007B165C" w:rsidRPr="007B165C">
        <w:rPr>
          <w:rFonts w:ascii="Book Antiqua" w:hAnsi="Book Antiqua"/>
          <w:sz w:val="24"/>
          <w:szCs w:val="24"/>
        </w:rPr>
        <w:t>someone who is incapacitated due to age, illness, or disability.</w:t>
      </w:r>
      <w:r w:rsidR="00186E9C">
        <w:rPr>
          <w:rFonts w:ascii="Book Antiqua" w:hAnsi="Book Antiqua"/>
          <w:sz w:val="24"/>
          <w:szCs w:val="24"/>
        </w:rPr>
        <w:t xml:space="preserve"> </w:t>
      </w:r>
      <w:r w:rsidR="002C6886">
        <w:rPr>
          <w:rFonts w:ascii="Book Antiqua" w:hAnsi="Book Antiqua"/>
          <w:sz w:val="24"/>
          <w:szCs w:val="24"/>
        </w:rPr>
        <w:t xml:space="preserve">Arizona law provides for </w:t>
      </w:r>
      <w:r w:rsidR="004F02D9">
        <w:rPr>
          <w:rFonts w:ascii="Book Antiqua" w:hAnsi="Book Antiqua"/>
          <w:sz w:val="24"/>
          <w:szCs w:val="24"/>
        </w:rPr>
        <w:t>two kinds</w:t>
      </w:r>
      <w:r w:rsidR="00CA402B">
        <w:rPr>
          <w:rFonts w:ascii="Book Antiqua" w:hAnsi="Book Antiqua"/>
          <w:sz w:val="24"/>
          <w:szCs w:val="24"/>
        </w:rPr>
        <w:t xml:space="preserve">: limited guardianships and general guardianships. In a </w:t>
      </w:r>
      <w:r w:rsidR="00CA402B">
        <w:rPr>
          <w:rFonts w:ascii="Book Antiqua" w:hAnsi="Book Antiqua"/>
          <w:i/>
          <w:iCs/>
          <w:sz w:val="24"/>
          <w:szCs w:val="24"/>
        </w:rPr>
        <w:t>limited guardianship</w:t>
      </w:r>
      <w:r w:rsidR="00CA402B">
        <w:rPr>
          <w:rFonts w:ascii="Book Antiqua" w:hAnsi="Book Antiqua"/>
          <w:sz w:val="24"/>
          <w:szCs w:val="24"/>
        </w:rPr>
        <w:t xml:space="preserve">, </w:t>
      </w:r>
      <w:r w:rsidR="00EF44E0">
        <w:rPr>
          <w:rFonts w:ascii="Book Antiqua" w:hAnsi="Book Antiqua"/>
          <w:sz w:val="24"/>
          <w:szCs w:val="24"/>
        </w:rPr>
        <w:t xml:space="preserve">a court grants the guardian specific powers and responsibilities, leaving some </w:t>
      </w:r>
      <w:r w:rsidR="006D262E">
        <w:rPr>
          <w:rFonts w:ascii="Book Antiqua" w:hAnsi="Book Antiqua"/>
          <w:sz w:val="24"/>
          <w:szCs w:val="24"/>
        </w:rPr>
        <w:t xml:space="preserve">rights and decision-making abilities with the incapacitated person. In a </w:t>
      </w:r>
      <w:r w:rsidR="006D262E">
        <w:rPr>
          <w:rFonts w:ascii="Book Antiqua" w:hAnsi="Book Antiqua"/>
          <w:i/>
          <w:iCs/>
          <w:sz w:val="24"/>
          <w:szCs w:val="24"/>
        </w:rPr>
        <w:t>general guardianship</w:t>
      </w:r>
      <w:r w:rsidR="006D262E">
        <w:rPr>
          <w:rFonts w:ascii="Book Antiqua" w:hAnsi="Book Antiqua"/>
          <w:sz w:val="24"/>
          <w:szCs w:val="24"/>
        </w:rPr>
        <w:t>, the court grants the guardian complete authority over the incapacitated person’s personal and financial affairs.</w:t>
      </w:r>
    </w:p>
    <w:p w14:paraId="09822F81" w14:textId="77777777" w:rsidR="00937C6D" w:rsidRDefault="00937C6D" w:rsidP="006E5824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5C88E242" w14:textId="1398BCC6" w:rsidR="00937C6D" w:rsidRDefault="00937C6D" w:rsidP="006E5824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F60F70">
        <w:rPr>
          <w:rFonts w:ascii="Book Antiqua" w:hAnsi="Book Antiqua"/>
          <w:sz w:val="24"/>
          <w:szCs w:val="24"/>
        </w:rPr>
        <w:t xml:space="preserve">Ms. Wood </w:t>
      </w:r>
      <w:r w:rsidR="00F979AA">
        <w:rPr>
          <w:rFonts w:ascii="Book Antiqua" w:hAnsi="Book Antiqua"/>
          <w:sz w:val="24"/>
          <w:szCs w:val="24"/>
        </w:rPr>
        <w:t xml:space="preserve">agreed that a guardian would be good for her, as she recognized </w:t>
      </w:r>
      <w:r w:rsidR="00CC4295">
        <w:rPr>
          <w:rFonts w:ascii="Book Antiqua" w:hAnsi="Book Antiqua"/>
          <w:sz w:val="24"/>
          <w:szCs w:val="24"/>
        </w:rPr>
        <w:t>her own mental decline. However, she did not want a general guardianship, becaus</w:t>
      </w:r>
      <w:r w:rsidR="0033306F">
        <w:rPr>
          <w:rFonts w:ascii="Book Antiqua" w:hAnsi="Book Antiqua"/>
          <w:sz w:val="24"/>
          <w:szCs w:val="24"/>
        </w:rPr>
        <w:t xml:space="preserve">e she did not want to lose her ability to vote. </w:t>
      </w:r>
      <w:r w:rsidR="0019253B">
        <w:rPr>
          <w:rFonts w:ascii="Book Antiqua" w:hAnsi="Book Antiqua"/>
          <w:sz w:val="24"/>
          <w:szCs w:val="24"/>
        </w:rPr>
        <w:t xml:space="preserve">While both types of guardianships can take away one’s right to vote, the right can be preserved in a limited guardianship if </w:t>
      </w:r>
      <w:r w:rsidR="005924F3">
        <w:rPr>
          <w:rFonts w:ascii="Book Antiqua" w:hAnsi="Book Antiqua"/>
          <w:sz w:val="24"/>
          <w:szCs w:val="24"/>
        </w:rPr>
        <w:t xml:space="preserve">a court determines that the </w:t>
      </w:r>
      <w:r w:rsidR="00F51266">
        <w:rPr>
          <w:rFonts w:ascii="Book Antiqua" w:hAnsi="Book Antiqua"/>
          <w:sz w:val="24"/>
          <w:szCs w:val="24"/>
        </w:rPr>
        <w:t>person has “sufficient understanding to exercise the right to vote.”</w:t>
      </w:r>
    </w:p>
    <w:p w14:paraId="2E18DD88" w14:textId="77777777" w:rsidR="003E311E" w:rsidRDefault="003E311E" w:rsidP="006E5824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5229729F" w14:textId="425D32CC" w:rsidR="003E311E" w:rsidRDefault="003E311E" w:rsidP="006E5824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6C1401">
        <w:rPr>
          <w:rFonts w:ascii="Book Antiqua" w:hAnsi="Book Antiqua"/>
          <w:sz w:val="24"/>
          <w:szCs w:val="24"/>
        </w:rPr>
        <w:t xml:space="preserve">As part of </w:t>
      </w:r>
      <w:r w:rsidR="00A847A2">
        <w:rPr>
          <w:rFonts w:ascii="Book Antiqua" w:hAnsi="Book Antiqua"/>
          <w:sz w:val="24"/>
          <w:szCs w:val="24"/>
        </w:rPr>
        <w:t>her</w:t>
      </w:r>
      <w:r w:rsidR="006C1401">
        <w:rPr>
          <w:rFonts w:ascii="Book Antiqua" w:hAnsi="Book Antiqua"/>
          <w:sz w:val="24"/>
          <w:szCs w:val="24"/>
        </w:rPr>
        <w:t xml:space="preserve"> guardianship process, a Coconino County court held a hearing to determine whether </w:t>
      </w:r>
      <w:r w:rsidR="00A847A2">
        <w:rPr>
          <w:rFonts w:ascii="Book Antiqua" w:hAnsi="Book Antiqua"/>
          <w:sz w:val="24"/>
          <w:szCs w:val="24"/>
        </w:rPr>
        <w:t xml:space="preserve">Ms. Wood should retain the right to vote. Ms. Wood stated that she wanted to be able to vote, and had voted </w:t>
      </w:r>
      <w:r w:rsidR="001942B8">
        <w:rPr>
          <w:rFonts w:ascii="Book Antiqua" w:hAnsi="Book Antiqua"/>
          <w:sz w:val="24"/>
          <w:szCs w:val="24"/>
        </w:rPr>
        <w:t xml:space="preserve">ever since she was old enough to do so. She stated that she voted by mail and made her decision by paying attention to candidates’ </w:t>
      </w:r>
      <w:r w:rsidR="001942B8">
        <w:rPr>
          <w:rFonts w:ascii="Book Antiqua" w:hAnsi="Book Antiqua"/>
          <w:sz w:val="24"/>
          <w:szCs w:val="24"/>
        </w:rPr>
        <w:lastRenderedPageBreak/>
        <w:t xml:space="preserve">television appearances. </w:t>
      </w:r>
      <w:r w:rsidR="00165275">
        <w:rPr>
          <w:rFonts w:ascii="Book Antiqua" w:hAnsi="Book Antiqua"/>
          <w:sz w:val="24"/>
          <w:szCs w:val="24"/>
        </w:rPr>
        <w:t xml:space="preserve">She understood that her vote mattered and could determine </w:t>
      </w:r>
      <w:r w:rsidR="00217621">
        <w:rPr>
          <w:rFonts w:ascii="Book Antiqua" w:hAnsi="Book Antiqua"/>
          <w:sz w:val="24"/>
          <w:szCs w:val="24"/>
        </w:rPr>
        <w:t xml:space="preserve">who the next president or senator could be. And though Ms. Wood talks with other </w:t>
      </w:r>
      <w:r w:rsidR="008A0A1D">
        <w:rPr>
          <w:rFonts w:ascii="Book Antiqua" w:hAnsi="Book Antiqua"/>
          <w:sz w:val="24"/>
          <w:szCs w:val="24"/>
        </w:rPr>
        <w:t xml:space="preserve">assisted living residents about politics, she stated that </w:t>
      </w:r>
      <w:r w:rsidR="003662AA">
        <w:rPr>
          <w:rFonts w:ascii="Book Antiqua" w:hAnsi="Book Antiqua"/>
          <w:sz w:val="24"/>
          <w:szCs w:val="24"/>
        </w:rPr>
        <w:t>her decision was not influenced by others.</w:t>
      </w:r>
    </w:p>
    <w:p w14:paraId="20C775C8" w14:textId="77777777" w:rsidR="003662AA" w:rsidRDefault="003662AA" w:rsidP="006E5824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1B9CDA6B" w14:textId="6FDD5CB3" w:rsidR="003662AA" w:rsidRDefault="003662AA" w:rsidP="006E5824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891FFF">
        <w:rPr>
          <w:rFonts w:ascii="Book Antiqua" w:hAnsi="Book Antiqua"/>
          <w:sz w:val="24"/>
          <w:szCs w:val="24"/>
        </w:rPr>
        <w:t xml:space="preserve">The court considered the voting rights issue, but ultimately decided that a general guardianship would be appropriate for Ms. Wood. </w:t>
      </w:r>
      <w:r w:rsidR="00E76216">
        <w:rPr>
          <w:rFonts w:ascii="Book Antiqua" w:hAnsi="Book Antiqua"/>
          <w:sz w:val="24"/>
          <w:szCs w:val="24"/>
        </w:rPr>
        <w:t>Based on her mental limitations, the court</w:t>
      </w:r>
      <w:r w:rsidR="00BE1543">
        <w:rPr>
          <w:rFonts w:ascii="Book Antiqua" w:hAnsi="Book Antiqua"/>
          <w:sz w:val="24"/>
          <w:szCs w:val="24"/>
        </w:rPr>
        <w:t xml:space="preserve"> decided a “lower” level of guardianship would not be best for her. </w:t>
      </w:r>
      <w:r w:rsidR="00555461">
        <w:rPr>
          <w:rFonts w:ascii="Book Antiqua" w:hAnsi="Book Antiqua"/>
          <w:sz w:val="24"/>
          <w:szCs w:val="24"/>
        </w:rPr>
        <w:t xml:space="preserve">The court </w:t>
      </w:r>
      <w:r w:rsidR="008971D5">
        <w:rPr>
          <w:rFonts w:ascii="Book Antiqua" w:hAnsi="Book Antiqua"/>
          <w:sz w:val="24"/>
          <w:szCs w:val="24"/>
        </w:rPr>
        <w:t xml:space="preserve">found it difficult to decide what a </w:t>
      </w:r>
      <w:r w:rsidR="00555461">
        <w:rPr>
          <w:rFonts w:ascii="Book Antiqua" w:hAnsi="Book Antiqua"/>
          <w:sz w:val="24"/>
          <w:szCs w:val="24"/>
        </w:rPr>
        <w:t xml:space="preserve">“sufficient understanding to exercise the right to vote” was, </w:t>
      </w:r>
      <w:r w:rsidR="008971D5">
        <w:rPr>
          <w:rFonts w:ascii="Book Antiqua" w:hAnsi="Book Antiqua"/>
          <w:sz w:val="24"/>
          <w:szCs w:val="24"/>
        </w:rPr>
        <w:t xml:space="preserve">but in the end </w:t>
      </w:r>
      <w:r w:rsidR="006C41AD">
        <w:rPr>
          <w:rFonts w:ascii="Book Antiqua" w:hAnsi="Book Antiqua"/>
          <w:sz w:val="24"/>
          <w:szCs w:val="24"/>
        </w:rPr>
        <w:t>decided Ms. Wood’s understanding was not sufficient.</w:t>
      </w:r>
    </w:p>
    <w:p w14:paraId="457944B3" w14:textId="77777777" w:rsidR="006C41AD" w:rsidRDefault="006C41AD" w:rsidP="006E5824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5859927C" w14:textId="3F997060" w:rsidR="00217621" w:rsidRPr="006D262E" w:rsidRDefault="006C41AD" w:rsidP="006E5824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C41C45">
        <w:rPr>
          <w:rFonts w:ascii="Book Antiqua" w:hAnsi="Book Antiqua"/>
          <w:sz w:val="24"/>
          <w:szCs w:val="24"/>
        </w:rPr>
        <w:t>Ms. Wood disagreed with the court’s decision to terminate her voting rights, and filed this appeal.</w:t>
      </w:r>
    </w:p>
    <w:p w14:paraId="166B5581" w14:textId="77777777" w:rsidR="000A2C99" w:rsidRDefault="000A2C99" w:rsidP="00E75AA2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7D1E1BCE" w14:textId="1C810CEB" w:rsidR="000A2C99" w:rsidRDefault="000A2C99" w:rsidP="00E75AA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ISSUES:</w:t>
      </w:r>
    </w:p>
    <w:p w14:paraId="3F5A8F75" w14:textId="77777777" w:rsidR="00C41C45" w:rsidRDefault="00C41C45" w:rsidP="00E75AA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3FCD8021" w14:textId="60BC241E" w:rsidR="00C41C45" w:rsidRDefault="00054525" w:rsidP="007D556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Does Arizona’s general guardianship law wrongfully </w:t>
      </w:r>
      <w:r w:rsidR="00BD13E6">
        <w:rPr>
          <w:rFonts w:ascii="Book Antiqua" w:hAnsi="Book Antiqua"/>
          <w:sz w:val="24"/>
          <w:szCs w:val="24"/>
        </w:rPr>
        <w:t>strip individuals of their voting rights?</w:t>
      </w:r>
    </w:p>
    <w:p w14:paraId="49E22565" w14:textId="77777777" w:rsidR="00BD13E6" w:rsidRDefault="00BD13E6" w:rsidP="00BD13E6">
      <w:pPr>
        <w:pStyle w:val="ListParagraph"/>
        <w:spacing w:after="0" w:line="240" w:lineRule="auto"/>
        <w:ind w:left="1080"/>
        <w:rPr>
          <w:rFonts w:ascii="Book Antiqua" w:hAnsi="Book Antiqua"/>
          <w:sz w:val="24"/>
          <w:szCs w:val="24"/>
        </w:rPr>
      </w:pPr>
    </w:p>
    <w:p w14:paraId="3D7B762C" w14:textId="08362F2F" w:rsidR="00BD13E6" w:rsidRDefault="00E64AFB" w:rsidP="007D556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Is</w:t>
      </w:r>
      <w:r w:rsidR="00BD13E6">
        <w:rPr>
          <w:rFonts w:ascii="Book Antiqua" w:hAnsi="Book Antiqua"/>
          <w:sz w:val="24"/>
          <w:szCs w:val="24"/>
        </w:rPr>
        <w:t xml:space="preserve"> Arizona’s limited guardianship law, which </w:t>
      </w:r>
      <w:r w:rsidR="00CD7E14">
        <w:rPr>
          <w:rFonts w:ascii="Book Antiqua" w:hAnsi="Book Antiqua"/>
          <w:sz w:val="24"/>
          <w:szCs w:val="24"/>
        </w:rPr>
        <w:t xml:space="preserve">requires proving “sufficient understanding to exercise the right to vote,” </w:t>
      </w:r>
      <w:r>
        <w:rPr>
          <w:rFonts w:ascii="Book Antiqua" w:hAnsi="Book Antiqua"/>
          <w:sz w:val="24"/>
          <w:szCs w:val="24"/>
        </w:rPr>
        <w:t>unconstitutionally strict?</w:t>
      </w:r>
    </w:p>
    <w:p w14:paraId="23C351A9" w14:textId="77777777" w:rsidR="00E64AFB" w:rsidRPr="00E64AFB" w:rsidRDefault="00E64AFB" w:rsidP="00E64AFB">
      <w:pPr>
        <w:pStyle w:val="ListParagraph"/>
        <w:rPr>
          <w:rFonts w:ascii="Book Antiqua" w:hAnsi="Book Antiqua"/>
          <w:sz w:val="24"/>
          <w:szCs w:val="24"/>
        </w:rPr>
      </w:pPr>
    </w:p>
    <w:p w14:paraId="6389425A" w14:textId="1BCFC091" w:rsidR="00E64AFB" w:rsidRPr="007D556C" w:rsidRDefault="009667BF" w:rsidP="007D556C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Are the </w:t>
      </w:r>
      <w:r w:rsidR="00A73EE5">
        <w:rPr>
          <w:rFonts w:ascii="Book Antiqua" w:hAnsi="Book Antiqua"/>
          <w:sz w:val="24"/>
          <w:szCs w:val="24"/>
        </w:rPr>
        <w:t>procedures</w:t>
      </w:r>
      <w:r>
        <w:rPr>
          <w:rFonts w:ascii="Book Antiqua" w:hAnsi="Book Antiqua"/>
          <w:sz w:val="24"/>
          <w:szCs w:val="24"/>
        </w:rPr>
        <w:t xml:space="preserve"> involved in the Arizona guardianship system sufficient</w:t>
      </w:r>
      <w:r w:rsidR="008747FF">
        <w:rPr>
          <w:rFonts w:ascii="Book Antiqua" w:hAnsi="Book Antiqua"/>
          <w:sz w:val="24"/>
          <w:szCs w:val="24"/>
        </w:rPr>
        <w:t xml:space="preserve"> to satisfy Due Process under the U.S. Constitution?</w:t>
      </w:r>
    </w:p>
    <w:p w14:paraId="37231A9A" w14:textId="77777777" w:rsidR="000A2C99" w:rsidRDefault="000A2C99" w:rsidP="00E75AA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12CB2DC0" w14:textId="20C1F6AA" w:rsidR="00FC220A" w:rsidRDefault="000344A4" w:rsidP="00E75AA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ARGUMENTS:</w:t>
      </w:r>
    </w:p>
    <w:p w14:paraId="050E4334" w14:textId="77777777" w:rsidR="00F027DD" w:rsidRDefault="00F027DD" w:rsidP="00E75AA2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1C8F34AA" w14:textId="4FAB98B5" w:rsidR="000344A4" w:rsidRPr="002622CF" w:rsidRDefault="000344A4" w:rsidP="00E75AA2">
      <w:pPr>
        <w:spacing w:after="0" w:line="240" w:lineRule="auto"/>
        <w:rPr>
          <w:rFonts w:ascii="Book Antiqua" w:hAnsi="Book Antiqua"/>
          <w:sz w:val="24"/>
          <w:szCs w:val="24"/>
          <w:u w:val="single"/>
        </w:rPr>
      </w:pPr>
      <w:r w:rsidRPr="002622CF">
        <w:rPr>
          <w:rFonts w:ascii="Book Antiqua" w:hAnsi="Book Antiqua"/>
          <w:sz w:val="24"/>
          <w:szCs w:val="24"/>
          <w:u w:val="single"/>
        </w:rPr>
        <w:t>Annette Wood</w:t>
      </w:r>
    </w:p>
    <w:p w14:paraId="7BA1E985" w14:textId="1EA19366" w:rsidR="00F027DD" w:rsidRDefault="00EB0099" w:rsidP="00E75AA2">
      <w:pPr>
        <w:spacing w:after="0"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</w:p>
    <w:p w14:paraId="20142A34" w14:textId="3DD63795" w:rsidR="00EB0099" w:rsidRDefault="00EB0099" w:rsidP="00104CE3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Ms. Wood, through her attorneys, argues that </w:t>
      </w:r>
      <w:r w:rsidR="0041425D">
        <w:rPr>
          <w:rFonts w:ascii="Book Antiqua" w:hAnsi="Book Antiqua"/>
          <w:sz w:val="24"/>
          <w:szCs w:val="24"/>
        </w:rPr>
        <w:t>A</w:t>
      </w:r>
      <w:r w:rsidR="00153ABA">
        <w:rPr>
          <w:rFonts w:ascii="Book Antiqua" w:hAnsi="Book Antiqua"/>
          <w:sz w:val="24"/>
          <w:szCs w:val="24"/>
        </w:rPr>
        <w:t xml:space="preserve">rizona’s full voting ban for persons under general </w:t>
      </w:r>
      <w:proofErr w:type="gramStart"/>
      <w:r w:rsidR="00153ABA">
        <w:rPr>
          <w:rFonts w:ascii="Book Antiqua" w:hAnsi="Book Antiqua"/>
          <w:sz w:val="24"/>
          <w:szCs w:val="24"/>
        </w:rPr>
        <w:t>guardianships</w:t>
      </w:r>
      <w:proofErr w:type="gramEnd"/>
      <w:r w:rsidR="00153ABA">
        <w:rPr>
          <w:rFonts w:ascii="Book Antiqua" w:hAnsi="Book Antiqua"/>
          <w:sz w:val="24"/>
          <w:szCs w:val="24"/>
        </w:rPr>
        <w:t xml:space="preserve"> is </w:t>
      </w:r>
      <w:r w:rsidR="00104CE3">
        <w:rPr>
          <w:rFonts w:ascii="Book Antiqua" w:hAnsi="Book Antiqua"/>
          <w:sz w:val="24"/>
          <w:szCs w:val="24"/>
        </w:rPr>
        <w:t xml:space="preserve">unconstitutional. </w:t>
      </w:r>
      <w:r w:rsidR="00FA2D2B">
        <w:rPr>
          <w:rFonts w:ascii="Book Antiqua" w:hAnsi="Book Antiqua"/>
          <w:sz w:val="24"/>
          <w:szCs w:val="24"/>
        </w:rPr>
        <w:t xml:space="preserve">Because voting is a fundamental right, laws that exclude certain groups of people from voting </w:t>
      </w:r>
      <w:r w:rsidR="006C4398">
        <w:rPr>
          <w:rFonts w:ascii="Book Antiqua" w:hAnsi="Book Antiqua"/>
          <w:sz w:val="24"/>
          <w:szCs w:val="24"/>
        </w:rPr>
        <w:t xml:space="preserve">may violate the Equal Protection Clause of the U.S. Constitution’s Fourteenth Amendment. </w:t>
      </w:r>
      <w:r w:rsidR="00AB1013">
        <w:rPr>
          <w:rFonts w:ascii="Book Antiqua" w:hAnsi="Book Antiqua"/>
          <w:sz w:val="24"/>
          <w:szCs w:val="24"/>
        </w:rPr>
        <w:t xml:space="preserve">Laws that affect fundamental rights have to be “narrowly tailored” to achieve their purpose without </w:t>
      </w:r>
      <w:r w:rsidR="00AE75EC">
        <w:rPr>
          <w:rFonts w:ascii="Book Antiqua" w:hAnsi="Book Antiqua"/>
          <w:sz w:val="24"/>
          <w:szCs w:val="24"/>
        </w:rPr>
        <w:t>overly intruding on people’s rights.</w:t>
      </w:r>
      <w:r w:rsidR="00487648">
        <w:rPr>
          <w:rFonts w:ascii="Book Antiqua" w:hAnsi="Book Antiqua"/>
          <w:sz w:val="24"/>
          <w:szCs w:val="24"/>
        </w:rPr>
        <w:t xml:space="preserve"> Ms. Wood argues that Arizona’s general guardianship law is not “narrowly tailored,”</w:t>
      </w:r>
      <w:r w:rsidR="00540325">
        <w:rPr>
          <w:rFonts w:ascii="Book Antiqua" w:hAnsi="Book Antiqua"/>
          <w:sz w:val="24"/>
          <w:szCs w:val="24"/>
        </w:rPr>
        <w:t xml:space="preserve"> and points out that other disabled people are allowed to vote, just not those under guardianships.</w:t>
      </w:r>
    </w:p>
    <w:p w14:paraId="69F56079" w14:textId="77777777" w:rsidR="00540325" w:rsidRDefault="00540325" w:rsidP="00104CE3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0D053B6F" w14:textId="3E3D79D2" w:rsidR="00540325" w:rsidRDefault="00540325" w:rsidP="00104CE3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DF4CF3">
        <w:rPr>
          <w:rFonts w:ascii="Book Antiqua" w:hAnsi="Book Antiqua"/>
          <w:sz w:val="24"/>
          <w:szCs w:val="24"/>
        </w:rPr>
        <w:t>Ms. Wood further argues that Arizona’s limited guardianship law also violates Equal Protection b</w:t>
      </w:r>
      <w:r w:rsidR="00AE13D1">
        <w:rPr>
          <w:rFonts w:ascii="Book Antiqua" w:hAnsi="Book Antiqua"/>
          <w:sz w:val="24"/>
          <w:szCs w:val="24"/>
        </w:rPr>
        <w:t>ecause it forces persons to prove “sufficient understanding” in order to vote.</w:t>
      </w:r>
      <w:r w:rsidR="00816E6A">
        <w:rPr>
          <w:rFonts w:ascii="Book Antiqua" w:hAnsi="Book Antiqua"/>
          <w:sz w:val="24"/>
          <w:szCs w:val="24"/>
        </w:rPr>
        <w:t xml:space="preserve"> </w:t>
      </w:r>
      <w:r w:rsidR="00884879">
        <w:rPr>
          <w:rFonts w:ascii="Book Antiqua" w:hAnsi="Book Antiqua"/>
          <w:sz w:val="24"/>
          <w:szCs w:val="24"/>
        </w:rPr>
        <w:t xml:space="preserve">Ms. Wood </w:t>
      </w:r>
      <w:r w:rsidR="00FA6A76">
        <w:rPr>
          <w:rFonts w:ascii="Book Antiqua" w:hAnsi="Book Antiqua"/>
          <w:sz w:val="24"/>
          <w:szCs w:val="24"/>
        </w:rPr>
        <w:t>argues</w:t>
      </w:r>
      <w:r w:rsidR="00884879">
        <w:rPr>
          <w:rFonts w:ascii="Book Antiqua" w:hAnsi="Book Antiqua"/>
          <w:sz w:val="24"/>
          <w:szCs w:val="24"/>
        </w:rPr>
        <w:t xml:space="preserve"> that it is wrong </w:t>
      </w:r>
      <w:r w:rsidR="0082549A">
        <w:rPr>
          <w:rFonts w:ascii="Book Antiqua" w:hAnsi="Book Antiqua"/>
          <w:sz w:val="24"/>
          <w:szCs w:val="24"/>
        </w:rPr>
        <w:t>that</w:t>
      </w:r>
      <w:r w:rsidR="00884879">
        <w:rPr>
          <w:rFonts w:ascii="Book Antiqua" w:hAnsi="Book Antiqua"/>
          <w:sz w:val="24"/>
          <w:szCs w:val="24"/>
        </w:rPr>
        <w:t xml:space="preserve"> the ward (the person under the guardianship) </w:t>
      </w:r>
      <w:r w:rsidR="0082549A">
        <w:rPr>
          <w:rFonts w:ascii="Book Antiqua" w:hAnsi="Book Antiqua"/>
          <w:sz w:val="24"/>
          <w:szCs w:val="24"/>
        </w:rPr>
        <w:t xml:space="preserve">has the burden of proving this; instead, the government should have to prove that the ward </w:t>
      </w:r>
      <w:r w:rsidR="0082549A">
        <w:rPr>
          <w:rFonts w:ascii="Book Antiqua" w:hAnsi="Book Antiqua"/>
          <w:i/>
          <w:iCs/>
          <w:sz w:val="24"/>
          <w:szCs w:val="24"/>
        </w:rPr>
        <w:t xml:space="preserve">is not </w:t>
      </w:r>
      <w:r w:rsidR="0082549A">
        <w:rPr>
          <w:rFonts w:ascii="Book Antiqua" w:hAnsi="Book Antiqua"/>
          <w:sz w:val="24"/>
          <w:szCs w:val="24"/>
        </w:rPr>
        <w:t xml:space="preserve">capable of </w:t>
      </w:r>
      <w:r w:rsidR="00426E04">
        <w:rPr>
          <w:rFonts w:ascii="Book Antiqua" w:hAnsi="Book Antiqua"/>
          <w:sz w:val="24"/>
          <w:szCs w:val="24"/>
        </w:rPr>
        <w:t>intelligently voting.</w:t>
      </w:r>
    </w:p>
    <w:p w14:paraId="3156489C" w14:textId="77777777" w:rsidR="00EF1B96" w:rsidRDefault="00EF1B96" w:rsidP="00104CE3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05CFC346" w14:textId="4F397FB2" w:rsidR="00481702" w:rsidRPr="0082549A" w:rsidRDefault="00EF1B96" w:rsidP="00104CE3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ab/>
      </w:r>
      <w:r w:rsidR="009A5192">
        <w:rPr>
          <w:rFonts w:ascii="Book Antiqua" w:hAnsi="Book Antiqua"/>
          <w:sz w:val="24"/>
          <w:szCs w:val="24"/>
        </w:rPr>
        <w:t>Ms. Wood last argues that Arizona’s guardianship pro</w:t>
      </w:r>
      <w:r w:rsidR="0056003F">
        <w:rPr>
          <w:rFonts w:ascii="Book Antiqua" w:hAnsi="Book Antiqua"/>
          <w:sz w:val="24"/>
          <w:szCs w:val="24"/>
        </w:rPr>
        <w:t xml:space="preserve">cedures unlawfully, categorically disenfranchise people’s voting rights. </w:t>
      </w:r>
      <w:r w:rsidR="00ED15C6">
        <w:rPr>
          <w:rFonts w:ascii="Book Antiqua" w:hAnsi="Book Antiqua"/>
          <w:sz w:val="24"/>
          <w:szCs w:val="24"/>
        </w:rPr>
        <w:t>G</w:t>
      </w:r>
      <w:r w:rsidR="00280386">
        <w:rPr>
          <w:rFonts w:ascii="Book Antiqua" w:hAnsi="Book Antiqua"/>
          <w:sz w:val="24"/>
          <w:szCs w:val="24"/>
        </w:rPr>
        <w:t>eneral guardianships can be imposed for</w:t>
      </w:r>
      <w:r w:rsidR="00ED15C6">
        <w:rPr>
          <w:rFonts w:ascii="Book Antiqua" w:hAnsi="Book Antiqua"/>
          <w:sz w:val="24"/>
          <w:szCs w:val="24"/>
        </w:rPr>
        <w:t xml:space="preserve"> several reasons, many of which are unrelated to voting rights. </w:t>
      </w:r>
      <w:r w:rsidR="00481702">
        <w:rPr>
          <w:rFonts w:ascii="Book Antiqua" w:hAnsi="Book Antiqua"/>
          <w:sz w:val="24"/>
          <w:szCs w:val="24"/>
        </w:rPr>
        <w:t>Ms. Wood argues that stripping someone’s voting rights should require a separate procedure.</w:t>
      </w:r>
      <w:r w:rsidR="00367AE8">
        <w:rPr>
          <w:rFonts w:ascii="Book Antiqua" w:hAnsi="Book Antiqua"/>
          <w:sz w:val="24"/>
          <w:szCs w:val="24"/>
        </w:rPr>
        <w:t xml:space="preserve"> She argues that the limited guardianship procedures are also insufficient, and that “sufficient understanding” is </w:t>
      </w:r>
      <w:r w:rsidR="00431F55">
        <w:rPr>
          <w:rFonts w:ascii="Book Antiqua" w:hAnsi="Book Antiqua"/>
          <w:sz w:val="24"/>
          <w:szCs w:val="24"/>
        </w:rPr>
        <w:t>too confusing and vague a standard.</w:t>
      </w:r>
    </w:p>
    <w:p w14:paraId="4A34ACF9" w14:textId="77777777" w:rsidR="009B320C" w:rsidRDefault="009B320C" w:rsidP="00E75AA2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69CC2C5E" w14:textId="6BB7F832" w:rsidR="00F027DD" w:rsidRPr="002622CF" w:rsidRDefault="00907CD7" w:rsidP="00E75AA2">
      <w:pPr>
        <w:spacing w:after="0" w:line="240" w:lineRule="auto"/>
        <w:rPr>
          <w:rFonts w:ascii="Book Antiqua" w:hAnsi="Book Antiqua"/>
          <w:sz w:val="24"/>
          <w:szCs w:val="24"/>
          <w:u w:val="single"/>
        </w:rPr>
      </w:pPr>
      <w:r>
        <w:rPr>
          <w:rFonts w:ascii="Book Antiqua" w:hAnsi="Book Antiqua"/>
          <w:sz w:val="24"/>
          <w:szCs w:val="24"/>
          <w:u w:val="single"/>
        </w:rPr>
        <w:t>State of Arizona</w:t>
      </w:r>
    </w:p>
    <w:p w14:paraId="4B84A795" w14:textId="77777777" w:rsidR="00F027DD" w:rsidRDefault="00F027DD" w:rsidP="00E75AA2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40814B45" w14:textId="63B78604" w:rsidR="009B320C" w:rsidRDefault="009B320C" w:rsidP="002D76A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>The State of Arizona</w:t>
      </w:r>
      <w:r w:rsidR="00917AD3">
        <w:rPr>
          <w:rFonts w:ascii="Book Antiqua" w:hAnsi="Book Antiqua"/>
          <w:sz w:val="24"/>
          <w:szCs w:val="24"/>
        </w:rPr>
        <w:t xml:space="preserve">, through the Arizona Attorney General, agrees that it was improper for the Coconino County court to strip Ms. Wood of her voting rights. </w:t>
      </w:r>
      <w:r w:rsidR="00DA07E8">
        <w:rPr>
          <w:rFonts w:ascii="Book Antiqua" w:hAnsi="Book Antiqua"/>
          <w:sz w:val="24"/>
          <w:szCs w:val="24"/>
        </w:rPr>
        <w:t xml:space="preserve">It does not agree, however, that Arizona’s guardianship laws are unconstitutional. In the State’s view, </w:t>
      </w:r>
      <w:r w:rsidR="001639A7">
        <w:rPr>
          <w:rFonts w:ascii="Book Antiqua" w:hAnsi="Book Antiqua"/>
          <w:sz w:val="24"/>
          <w:szCs w:val="24"/>
        </w:rPr>
        <w:t xml:space="preserve">the evidence showed that Ms. Wood retained “sufficient understanding” of her right to vote, and should have been placed under a limited guardianship </w:t>
      </w:r>
      <w:r w:rsidR="002D76A5">
        <w:rPr>
          <w:rFonts w:ascii="Book Antiqua" w:hAnsi="Book Antiqua"/>
          <w:sz w:val="24"/>
          <w:szCs w:val="24"/>
        </w:rPr>
        <w:t>that preserved that right.</w:t>
      </w:r>
      <w:r w:rsidR="00F77118">
        <w:rPr>
          <w:rFonts w:ascii="Book Antiqua" w:hAnsi="Book Antiqua"/>
          <w:sz w:val="24"/>
          <w:szCs w:val="24"/>
        </w:rPr>
        <w:t xml:space="preserve"> The State argues that because the limited guardianship allows a court to preserve voting rights, </w:t>
      </w:r>
      <w:r w:rsidR="006C3A04">
        <w:rPr>
          <w:rFonts w:ascii="Book Antiqua" w:hAnsi="Book Antiqua"/>
          <w:sz w:val="24"/>
          <w:szCs w:val="24"/>
        </w:rPr>
        <w:t xml:space="preserve">this gives the courts an opportunity to consider the evidence and decide on a case-by-case basis whether </w:t>
      </w:r>
      <w:r w:rsidR="00A80BDB">
        <w:rPr>
          <w:rFonts w:ascii="Book Antiqua" w:hAnsi="Book Antiqua"/>
          <w:sz w:val="24"/>
          <w:szCs w:val="24"/>
        </w:rPr>
        <w:t>it is appropriate to strip those rights.</w:t>
      </w:r>
      <w:r w:rsidR="00DA07E8">
        <w:rPr>
          <w:rFonts w:ascii="Book Antiqua" w:hAnsi="Book Antiqua"/>
          <w:sz w:val="24"/>
          <w:szCs w:val="24"/>
        </w:rPr>
        <w:t xml:space="preserve"> </w:t>
      </w:r>
      <w:r w:rsidR="00A80BDB">
        <w:rPr>
          <w:rFonts w:ascii="Book Antiqua" w:hAnsi="Book Antiqua"/>
          <w:sz w:val="24"/>
          <w:szCs w:val="24"/>
        </w:rPr>
        <w:t xml:space="preserve">Though the Coconino County court in this case failed to </w:t>
      </w:r>
      <w:r w:rsidR="001A2093">
        <w:rPr>
          <w:rFonts w:ascii="Book Antiqua" w:hAnsi="Book Antiqua"/>
          <w:sz w:val="24"/>
          <w:szCs w:val="24"/>
        </w:rPr>
        <w:t xml:space="preserve">properly respect the importance of </w:t>
      </w:r>
      <w:r w:rsidR="003745B7">
        <w:rPr>
          <w:rFonts w:ascii="Book Antiqua" w:hAnsi="Book Antiqua"/>
          <w:sz w:val="24"/>
          <w:szCs w:val="24"/>
        </w:rPr>
        <w:t xml:space="preserve">someone’s </w:t>
      </w:r>
      <w:r w:rsidR="001A2093">
        <w:rPr>
          <w:rFonts w:ascii="Book Antiqua" w:hAnsi="Book Antiqua"/>
          <w:sz w:val="24"/>
          <w:szCs w:val="24"/>
        </w:rPr>
        <w:t>voting rights, that does not mean that all courts</w:t>
      </w:r>
      <w:r w:rsidR="003745B7">
        <w:rPr>
          <w:rFonts w:ascii="Book Antiqua" w:hAnsi="Book Antiqua"/>
          <w:sz w:val="24"/>
          <w:szCs w:val="24"/>
        </w:rPr>
        <w:t xml:space="preserve"> would fail to do so.</w:t>
      </w:r>
    </w:p>
    <w:p w14:paraId="331E3462" w14:textId="77777777" w:rsidR="00A94532" w:rsidRDefault="00A94532" w:rsidP="002D76A5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66FBD944" w14:textId="32B87559" w:rsidR="009B320C" w:rsidRDefault="00A94532" w:rsidP="007364F1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  <w:t xml:space="preserve">The State requests that the Court of Appeals </w:t>
      </w:r>
      <w:r w:rsidR="00841144">
        <w:rPr>
          <w:rFonts w:ascii="Book Antiqua" w:hAnsi="Book Antiqua"/>
          <w:sz w:val="24"/>
          <w:szCs w:val="24"/>
        </w:rPr>
        <w:t xml:space="preserve">hold that Arizona’s guardianship laws are not unconstitutional, and to reverse the termination of Ms. Wood’s voting rights, so that </w:t>
      </w:r>
      <w:r w:rsidR="007364F1">
        <w:rPr>
          <w:rFonts w:ascii="Book Antiqua" w:hAnsi="Book Antiqua"/>
          <w:sz w:val="24"/>
          <w:szCs w:val="24"/>
        </w:rPr>
        <w:t>her guardianship can be changed to a limited guardianship that preserves those rights.</w:t>
      </w:r>
    </w:p>
    <w:p w14:paraId="115E989E" w14:textId="77777777" w:rsidR="009B320C" w:rsidRDefault="009B320C" w:rsidP="00E75AA2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76FCE5D6" w14:textId="0D889339" w:rsidR="00F027DD" w:rsidRPr="002622CF" w:rsidRDefault="00F027DD" w:rsidP="00E75AA2">
      <w:pPr>
        <w:spacing w:after="0" w:line="240" w:lineRule="auto"/>
        <w:rPr>
          <w:rFonts w:ascii="Book Antiqua" w:hAnsi="Book Antiqua"/>
          <w:sz w:val="24"/>
          <w:szCs w:val="24"/>
          <w:u w:val="single"/>
        </w:rPr>
      </w:pPr>
      <w:r w:rsidRPr="002622CF">
        <w:rPr>
          <w:rFonts w:ascii="Book Antiqua" w:hAnsi="Book Antiqua"/>
          <w:sz w:val="24"/>
          <w:szCs w:val="24"/>
          <w:u w:val="single"/>
        </w:rPr>
        <w:t>Other Parties</w:t>
      </w:r>
    </w:p>
    <w:p w14:paraId="79EC5DEC" w14:textId="77777777" w:rsidR="00FC220A" w:rsidRDefault="00FC220A" w:rsidP="00E75AA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48641036" w14:textId="7D1298AA" w:rsidR="00FC220A" w:rsidRPr="0016283F" w:rsidRDefault="007364F1" w:rsidP="00636AE4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ab/>
      </w:r>
      <w:r w:rsidR="0016283F">
        <w:rPr>
          <w:rFonts w:ascii="Book Antiqua" w:hAnsi="Book Antiqua"/>
          <w:i/>
          <w:iCs/>
          <w:sz w:val="24"/>
          <w:szCs w:val="24"/>
        </w:rPr>
        <w:t>Amici curiae</w:t>
      </w:r>
      <w:r w:rsidR="0016283F">
        <w:rPr>
          <w:rFonts w:ascii="Book Antiqua" w:hAnsi="Book Antiqua"/>
          <w:sz w:val="24"/>
          <w:szCs w:val="24"/>
        </w:rPr>
        <w:t>, or “friends of the court,” are</w:t>
      </w:r>
      <w:r w:rsidR="00636AE4">
        <w:rPr>
          <w:rFonts w:ascii="Book Antiqua" w:hAnsi="Book Antiqua"/>
          <w:sz w:val="24"/>
          <w:szCs w:val="24"/>
        </w:rPr>
        <w:t xml:space="preserve"> organizations or professionals </w:t>
      </w:r>
      <w:r w:rsidR="006C1A77">
        <w:rPr>
          <w:rFonts w:ascii="Book Antiqua" w:hAnsi="Book Antiqua"/>
          <w:sz w:val="24"/>
          <w:szCs w:val="24"/>
        </w:rPr>
        <w:t xml:space="preserve">that this Court </w:t>
      </w:r>
      <w:r w:rsidR="00176272">
        <w:rPr>
          <w:rFonts w:ascii="Book Antiqua" w:hAnsi="Book Antiqua"/>
          <w:sz w:val="24"/>
          <w:szCs w:val="24"/>
        </w:rPr>
        <w:t xml:space="preserve">invites </w:t>
      </w:r>
      <w:r w:rsidR="009C34F4" w:rsidRPr="009C34F4">
        <w:rPr>
          <w:rFonts w:ascii="Book Antiqua" w:hAnsi="Book Antiqua"/>
          <w:sz w:val="24"/>
          <w:szCs w:val="24"/>
        </w:rPr>
        <w:t xml:space="preserve">to assist by offering information, expertise, or insight </w:t>
      </w:r>
      <w:r w:rsidR="009C34F4">
        <w:rPr>
          <w:rFonts w:ascii="Book Antiqua" w:hAnsi="Book Antiqua"/>
          <w:sz w:val="24"/>
          <w:szCs w:val="24"/>
        </w:rPr>
        <w:t>related to</w:t>
      </w:r>
      <w:r w:rsidR="009C34F4" w:rsidRPr="009C34F4">
        <w:rPr>
          <w:rFonts w:ascii="Book Antiqua" w:hAnsi="Book Antiqua"/>
          <w:sz w:val="24"/>
          <w:szCs w:val="24"/>
        </w:rPr>
        <w:t xml:space="preserve"> the issues in the case.</w:t>
      </w:r>
      <w:r w:rsidR="0016602C">
        <w:rPr>
          <w:rFonts w:ascii="Book Antiqua" w:hAnsi="Book Antiqua"/>
          <w:sz w:val="24"/>
          <w:szCs w:val="24"/>
        </w:rPr>
        <w:t xml:space="preserve"> Two amici filed briefs </w:t>
      </w:r>
      <w:r w:rsidR="00105805">
        <w:rPr>
          <w:rFonts w:ascii="Book Antiqua" w:hAnsi="Book Antiqua"/>
          <w:sz w:val="24"/>
          <w:szCs w:val="24"/>
        </w:rPr>
        <w:t>in this case</w:t>
      </w:r>
      <w:r w:rsidR="0016602C">
        <w:rPr>
          <w:rFonts w:ascii="Book Antiqua" w:hAnsi="Book Antiqua"/>
          <w:sz w:val="24"/>
          <w:szCs w:val="24"/>
        </w:rPr>
        <w:t xml:space="preserve">. </w:t>
      </w:r>
      <w:r w:rsidR="00BC44E2">
        <w:rPr>
          <w:rFonts w:ascii="Book Antiqua" w:hAnsi="Book Antiqua"/>
          <w:sz w:val="24"/>
          <w:szCs w:val="24"/>
        </w:rPr>
        <w:t>These amici, the</w:t>
      </w:r>
      <w:r w:rsidR="004C7D20">
        <w:rPr>
          <w:rFonts w:ascii="Book Antiqua" w:hAnsi="Book Antiqua"/>
          <w:sz w:val="24"/>
          <w:szCs w:val="24"/>
        </w:rPr>
        <w:t xml:space="preserve"> Arizona </w:t>
      </w:r>
      <w:r w:rsidR="00AC01F2">
        <w:rPr>
          <w:rFonts w:ascii="Book Antiqua" w:hAnsi="Book Antiqua"/>
          <w:sz w:val="24"/>
          <w:szCs w:val="24"/>
        </w:rPr>
        <w:t>Center for Law in the Public Interest</w:t>
      </w:r>
      <w:r w:rsidR="00385407">
        <w:rPr>
          <w:rFonts w:ascii="Book Antiqua" w:hAnsi="Book Antiqua"/>
          <w:sz w:val="24"/>
          <w:szCs w:val="24"/>
        </w:rPr>
        <w:t xml:space="preserve"> </w:t>
      </w:r>
      <w:r w:rsidR="00BC44E2">
        <w:rPr>
          <w:rFonts w:ascii="Book Antiqua" w:hAnsi="Book Antiqua"/>
          <w:sz w:val="24"/>
          <w:szCs w:val="24"/>
        </w:rPr>
        <w:t xml:space="preserve">and the </w:t>
      </w:r>
      <w:r w:rsidR="004617D4">
        <w:rPr>
          <w:rFonts w:ascii="Book Antiqua" w:hAnsi="Book Antiqua"/>
          <w:sz w:val="24"/>
          <w:szCs w:val="24"/>
        </w:rPr>
        <w:t xml:space="preserve">Arizona Center for Disability Law, </w:t>
      </w:r>
      <w:r w:rsidR="00385407">
        <w:rPr>
          <w:rFonts w:ascii="Book Antiqua" w:hAnsi="Book Antiqua"/>
          <w:sz w:val="24"/>
          <w:szCs w:val="24"/>
        </w:rPr>
        <w:t xml:space="preserve">argue that Arizona’s laws </w:t>
      </w:r>
      <w:r w:rsidR="00DA2E10">
        <w:rPr>
          <w:rFonts w:ascii="Book Antiqua" w:hAnsi="Book Antiqua"/>
          <w:sz w:val="24"/>
          <w:szCs w:val="24"/>
        </w:rPr>
        <w:t>perpetuate unfortunate historical biases against disabled people</w:t>
      </w:r>
      <w:r w:rsidR="004617D4">
        <w:rPr>
          <w:rFonts w:ascii="Book Antiqua" w:hAnsi="Book Antiqua"/>
          <w:sz w:val="24"/>
          <w:szCs w:val="24"/>
        </w:rPr>
        <w:t xml:space="preserve">, and request that the Court of Appeals </w:t>
      </w:r>
      <w:r w:rsidR="00105805">
        <w:rPr>
          <w:rFonts w:ascii="Book Antiqua" w:hAnsi="Book Antiqua"/>
          <w:sz w:val="24"/>
          <w:szCs w:val="24"/>
        </w:rPr>
        <w:t>rule in favor of Ms. Wood.</w:t>
      </w:r>
    </w:p>
    <w:p w14:paraId="317F1298" w14:textId="77777777" w:rsidR="00FC220A" w:rsidRDefault="00FC220A" w:rsidP="00E75AA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5A96FFE6" w14:textId="77777777" w:rsidR="00FC220A" w:rsidRDefault="00FC220A" w:rsidP="00E75AA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5DAD9227" w14:textId="77777777" w:rsidR="00FC220A" w:rsidRDefault="00FC220A" w:rsidP="00E75AA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05ADA834" w14:textId="77777777" w:rsidR="00105805" w:rsidRDefault="00105805" w:rsidP="00E75AA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7C7C8E85" w14:textId="77777777" w:rsidR="00105805" w:rsidRDefault="00105805" w:rsidP="00E75AA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7B3854A6" w14:textId="77777777" w:rsidR="00105805" w:rsidRDefault="00105805" w:rsidP="00E75AA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19C23125" w14:textId="77777777" w:rsidR="00105805" w:rsidRDefault="00105805" w:rsidP="00E75AA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31CC4D96" w14:textId="77777777" w:rsidR="00105805" w:rsidRDefault="00105805" w:rsidP="00E75AA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5C23B30C" w14:textId="77777777" w:rsidR="00FC220A" w:rsidRDefault="00FC220A" w:rsidP="00E75AA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</w:p>
    <w:p w14:paraId="6835A788" w14:textId="2848801E" w:rsidR="000A2C99" w:rsidRPr="000A2C99" w:rsidRDefault="00FC220A" w:rsidP="00E75AA2">
      <w:pPr>
        <w:spacing w:after="0" w:line="240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2AF06D47" wp14:editId="1B7D01C8">
                <wp:extent cx="6051550" cy="309652"/>
                <wp:effectExtent l="0" t="0" r="25400" b="14605"/>
                <wp:docPr id="71277247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30965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9F9599" w14:textId="71352DB7" w:rsidR="00FC220A" w:rsidRDefault="00FC220A" w:rsidP="00FC220A">
                            <w:pPr>
                              <w:spacing w:line="232" w:lineRule="auto"/>
                              <w:ind w:left="90" w:right="15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Su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mm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pa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ly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4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ld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ot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be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4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ici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mm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by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0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or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or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pa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y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m, 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ad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g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n 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-2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</w:rPr>
                              <w:t xml:space="preserve"> 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pacing w:val="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F06D4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76.5pt;height:2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" filled="f">
                <v:textbox inset="0,0,0,0">
                  <w:txbxContent>
                    <w:p w14:paraId="5E9F9599" w14:textId="71352DB7" w:rsidR="00FC220A" w:rsidRDefault="00FC220A" w:rsidP="00FC220A">
                      <w:pPr>
                        <w:spacing w:line="232" w:lineRule="auto"/>
                        <w:ind w:left="90" w:right="150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3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Su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mm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as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pa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ly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4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po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t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ld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ot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be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4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d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ici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l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mm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y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by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e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0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t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or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y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r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of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or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pa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t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of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y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ie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m, or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ad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g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d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1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n 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-2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0"/>
                          <w:szCs w:val="20"/>
                        </w:rPr>
                        <w:t xml:space="preserve"> c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2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pacing w:val="1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A2C99" w:rsidRPr="000A2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E7549"/>
    <w:multiLevelType w:val="hybridMultilevel"/>
    <w:tmpl w:val="275A006A"/>
    <w:lvl w:ilvl="0" w:tplc="F21E0F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3564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2F"/>
    <w:rsid w:val="000344A4"/>
    <w:rsid w:val="00054525"/>
    <w:rsid w:val="0005738B"/>
    <w:rsid w:val="000730BC"/>
    <w:rsid w:val="000878CA"/>
    <w:rsid w:val="000A2C99"/>
    <w:rsid w:val="000D0803"/>
    <w:rsid w:val="000E3E23"/>
    <w:rsid w:val="00104CE3"/>
    <w:rsid w:val="00105805"/>
    <w:rsid w:val="00153ABA"/>
    <w:rsid w:val="0016283F"/>
    <w:rsid w:val="001639A7"/>
    <w:rsid w:val="00165275"/>
    <w:rsid w:val="0016602C"/>
    <w:rsid w:val="00176272"/>
    <w:rsid w:val="00186E9C"/>
    <w:rsid w:val="0019253B"/>
    <w:rsid w:val="001942B8"/>
    <w:rsid w:val="001A2093"/>
    <w:rsid w:val="001B734C"/>
    <w:rsid w:val="001E775C"/>
    <w:rsid w:val="00217621"/>
    <w:rsid w:val="002622CF"/>
    <w:rsid w:val="00280386"/>
    <w:rsid w:val="002956C2"/>
    <w:rsid w:val="002A1015"/>
    <w:rsid w:val="002C6886"/>
    <w:rsid w:val="002D76A5"/>
    <w:rsid w:val="002E6081"/>
    <w:rsid w:val="0033306F"/>
    <w:rsid w:val="003662AA"/>
    <w:rsid w:val="00367AE8"/>
    <w:rsid w:val="003745B7"/>
    <w:rsid w:val="00385407"/>
    <w:rsid w:val="00385942"/>
    <w:rsid w:val="003D72AF"/>
    <w:rsid w:val="003E311E"/>
    <w:rsid w:val="0041425D"/>
    <w:rsid w:val="00426E04"/>
    <w:rsid w:val="00431F55"/>
    <w:rsid w:val="004617D4"/>
    <w:rsid w:val="00465B30"/>
    <w:rsid w:val="00470BCF"/>
    <w:rsid w:val="00481702"/>
    <w:rsid w:val="00487648"/>
    <w:rsid w:val="004C7D20"/>
    <w:rsid w:val="004F02D9"/>
    <w:rsid w:val="0052219A"/>
    <w:rsid w:val="00534E70"/>
    <w:rsid w:val="00540325"/>
    <w:rsid w:val="00555461"/>
    <w:rsid w:val="0056003F"/>
    <w:rsid w:val="0056746B"/>
    <w:rsid w:val="005924F3"/>
    <w:rsid w:val="00636AE4"/>
    <w:rsid w:val="00642F99"/>
    <w:rsid w:val="006851FA"/>
    <w:rsid w:val="006C1401"/>
    <w:rsid w:val="006C1A77"/>
    <w:rsid w:val="006C258F"/>
    <w:rsid w:val="006C3A04"/>
    <w:rsid w:val="006C41AD"/>
    <w:rsid w:val="006C4398"/>
    <w:rsid w:val="006D262E"/>
    <w:rsid w:val="006E5824"/>
    <w:rsid w:val="007364F1"/>
    <w:rsid w:val="00771E30"/>
    <w:rsid w:val="00773730"/>
    <w:rsid w:val="007B165C"/>
    <w:rsid w:val="007B5B91"/>
    <w:rsid w:val="007D556C"/>
    <w:rsid w:val="007E0E13"/>
    <w:rsid w:val="00816E6A"/>
    <w:rsid w:val="0082549A"/>
    <w:rsid w:val="00841144"/>
    <w:rsid w:val="008628F4"/>
    <w:rsid w:val="008747FF"/>
    <w:rsid w:val="00884879"/>
    <w:rsid w:val="00886E2F"/>
    <w:rsid w:val="00891FFF"/>
    <w:rsid w:val="008971D5"/>
    <w:rsid w:val="008A0A1D"/>
    <w:rsid w:val="008D3A84"/>
    <w:rsid w:val="00907CD7"/>
    <w:rsid w:val="00917AD3"/>
    <w:rsid w:val="00924346"/>
    <w:rsid w:val="00937C6D"/>
    <w:rsid w:val="0095601C"/>
    <w:rsid w:val="009604D0"/>
    <w:rsid w:val="009667BF"/>
    <w:rsid w:val="009A5192"/>
    <w:rsid w:val="009B320C"/>
    <w:rsid w:val="009C34F4"/>
    <w:rsid w:val="009E5F89"/>
    <w:rsid w:val="00A03182"/>
    <w:rsid w:val="00A274A6"/>
    <w:rsid w:val="00A42BF0"/>
    <w:rsid w:val="00A73EE5"/>
    <w:rsid w:val="00A80BDB"/>
    <w:rsid w:val="00A847A2"/>
    <w:rsid w:val="00A94532"/>
    <w:rsid w:val="00AB1013"/>
    <w:rsid w:val="00AC01F2"/>
    <w:rsid w:val="00AE13D1"/>
    <w:rsid w:val="00AE75EC"/>
    <w:rsid w:val="00B034A8"/>
    <w:rsid w:val="00B3395F"/>
    <w:rsid w:val="00BC44E2"/>
    <w:rsid w:val="00BD13E6"/>
    <w:rsid w:val="00BE1543"/>
    <w:rsid w:val="00C20058"/>
    <w:rsid w:val="00C41C45"/>
    <w:rsid w:val="00CA402B"/>
    <w:rsid w:val="00CB313B"/>
    <w:rsid w:val="00CC4295"/>
    <w:rsid w:val="00CD7E14"/>
    <w:rsid w:val="00DA07E8"/>
    <w:rsid w:val="00DA2E10"/>
    <w:rsid w:val="00DD0A06"/>
    <w:rsid w:val="00DF4CF3"/>
    <w:rsid w:val="00E52621"/>
    <w:rsid w:val="00E64AFB"/>
    <w:rsid w:val="00E75AA2"/>
    <w:rsid w:val="00E76216"/>
    <w:rsid w:val="00E82F10"/>
    <w:rsid w:val="00E92070"/>
    <w:rsid w:val="00E92EC9"/>
    <w:rsid w:val="00EB0099"/>
    <w:rsid w:val="00ED15C6"/>
    <w:rsid w:val="00EF1B96"/>
    <w:rsid w:val="00EF44E0"/>
    <w:rsid w:val="00F027DD"/>
    <w:rsid w:val="00F51266"/>
    <w:rsid w:val="00F60F70"/>
    <w:rsid w:val="00F77118"/>
    <w:rsid w:val="00F979AA"/>
    <w:rsid w:val="00FA2D2B"/>
    <w:rsid w:val="00FA6A76"/>
    <w:rsid w:val="00FC220A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D1897"/>
  <w15:chartTrackingRefBased/>
  <w15:docId w15:val="{D5702122-08C0-4961-879F-D7671AAD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5587</Characters>
  <Application>Microsoft Office Word</Application>
  <DocSecurity>0</DocSecurity>
  <Lines>46</Lines>
  <Paragraphs>13</Paragraphs>
  <ScaleCrop>false</ScaleCrop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Lochner, Kyle</dc:creator>
  <cp:keywords/>
  <dc:description/>
  <cp:lastModifiedBy>Taylor, Shelby</cp:lastModifiedBy>
  <cp:revision>2</cp:revision>
  <dcterms:created xsi:type="dcterms:W3CDTF">2023-10-25T16:17:00Z</dcterms:created>
  <dcterms:modified xsi:type="dcterms:W3CDTF">2023-10-25T16:17:00Z</dcterms:modified>
</cp:coreProperties>
</file>